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de Estudios Abiertos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Instituto de Iberoamérica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Universidad de Salamanca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Programa 2022/2023</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1"/>
          <w:i w:val="0"/>
          <w:smallCaps w:val="0"/>
          <w:strike w:val="0"/>
          <w:color w:val="808080"/>
          <w:sz w:val="28"/>
          <w:szCs w:val="28"/>
          <w:u w:val="none"/>
          <w:shd w:fill="auto" w:val="clear"/>
          <w:vertAlign w:val="baseline"/>
        </w:rPr>
      </w:pPr>
      <w:r w:rsidDel="00000000" w:rsidR="00000000" w:rsidRPr="00000000">
        <w:rPr>
          <w:rFonts w:ascii="Garamond" w:cs="Garamond" w:eastAsia="Garamond" w:hAnsi="Garamond"/>
          <w:b w:val="1"/>
          <w:i w:val="0"/>
          <w:smallCaps w:val="0"/>
          <w:strike w:val="0"/>
          <w:color w:val="808080"/>
          <w:sz w:val="28"/>
          <w:szCs w:val="28"/>
          <w:u w:val="none"/>
          <w:shd w:fill="auto" w:val="clear"/>
          <w:vertAlign w:val="baseline"/>
          <w:rtl w:val="0"/>
        </w:rPr>
        <w:t xml:space="preserve">Nombre del Curso:  Desafíos a la representación política: movimiento indígena y nuevos actores en Bolivia, Ecuador y Perú</w:t>
      </w:r>
    </w:p>
    <w:tbl>
      <w:tblPr>
        <w:tblStyle w:val="Table1"/>
        <w:tblW w:w="8644.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4322"/>
        <w:gridCol w:w="4322"/>
        <w:tblGridChange w:id="0">
          <w:tblGrid>
            <w:gridCol w:w="4322"/>
            <w:gridCol w:w="4322"/>
          </w:tblGrid>
        </w:tblGridChange>
      </w:tblGrid>
      <w:tr>
        <w:trPr>
          <w:cantSplit w:val="0"/>
          <w:tblHeader w:val="0"/>
        </w:trPr>
        <w:tc>
          <w:tcPr>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Prof. Nombre del Profesor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Simón Pachano</w:t>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e-mail  spachano@flacso.edu.ec</w:t>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Institución  FLACSO, Ecuador</w:t>
            </w:r>
          </w:p>
        </w:tc>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Fecha: </w:t>
            </w:r>
            <w:r w:rsidDel="00000000" w:rsidR="00000000" w:rsidRPr="00000000">
              <w:rPr>
                <w:rFonts w:ascii="Garamond" w:cs="Garamond" w:eastAsia="Garamond" w:hAnsi="Garamond"/>
                <w:rtl w:val="0"/>
              </w:rPr>
              <w:t xml:space="preserve">26-29 de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septiembre</w:t>
            </w:r>
            <w:r w:rsidDel="00000000" w:rsidR="00000000" w:rsidRPr="00000000">
              <w:rPr>
                <w:rFonts w:ascii="Garamond" w:cs="Garamond" w:eastAsia="Garamond" w:hAnsi="Garamond"/>
                <w:rtl w:val="0"/>
              </w:rPr>
              <w:t xml:space="preserve"> de 2022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(lunes-jueves)</w:t>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Webdings" w:cs="Webdings" w:eastAsia="Webdings" w:hAnsi="Webdings"/>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Horario: 12.30 a 14.30 hs.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Resumen del curso: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curso indagará en las causas y las características del surgimiento de nuevos actores políticos y en la capacidad de los sistemas políticos para procesar los desafíos que plantea esa realidad. Específicamente, pondrá atención en la conformación de organizaciones (partidos, movimientos) portadoras de demandas etno-culturales con énfasis en sus contenidos sociales y económicos, así como en sus propuestas de cambio político e institucional.</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Objetivos: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El objetivo central es analizar y explicar las semejanzas y diferencias, tanto en los contenidos de las propuestas como en la capacidad de respuesta de los sistemas políticos de los cuatro países. Para alcanzar este objetivo es necesario identificar las características específicas de los componentes básicos de esos sistemas políticos (órganos ejecutivos y legislativos, sistemas de partidos, normas constitucionales) y revisar críticamente la bibliografía al respecto.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Estructura del curso (temario):</w:t>
      </w:r>
    </w:p>
    <w:p w:rsidR="00000000" w:rsidDel="00000000" w:rsidP="00000000" w:rsidRDefault="00000000" w:rsidRPr="00000000" w14:paraId="00000016">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Sesión I. Explicación general del curso. Cronología de los procesos económicos y políticos. Características del ajuste y del giro a la izquierda. </w:t>
      </w:r>
    </w:p>
    <w:p w:rsidR="00000000" w:rsidDel="00000000" w:rsidP="00000000" w:rsidRDefault="00000000" w:rsidRPr="00000000" w14:paraId="0000001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Sesión II. El surgimiento de nuevos actores políticos. La irrupción de las demandas étnicas. Respuestas inmediatas y mediatas. La propuesta multicultural y plurinacional. Capacidad de los partidos étnicos para agregar intereses.</w:t>
      </w:r>
    </w:p>
    <w:p w:rsidR="00000000" w:rsidDel="00000000" w:rsidP="00000000" w:rsidRDefault="00000000" w:rsidRPr="00000000" w14:paraId="00000018">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Sesión III. Cambios en los sistemas políticos. Reformas constitucionales. Reformas electorales. Impacto en el sistema de partidos.</w:t>
      </w:r>
    </w:p>
    <w:p w:rsidR="00000000" w:rsidDel="00000000" w:rsidP="00000000" w:rsidRDefault="00000000" w:rsidRPr="00000000" w14:paraId="0000001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Sesión IV. Protesta social y capacidad de respuesta del sistema político. Perspectivas hacia el futuro. Posibilidades de reconfiguración del escenario político. Conclusiones.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Evaluación: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De acuerdo a las normas del Instituto para los PEA y previstas en la convocatoria del curso.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Bibliografía: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Becker, Marc. 2012.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Pachakutik! Indigenous Movements and Electoral Politics in Ecuador.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Maryland. Rowman &amp; Littlefield Publishers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Cordero, Sofía. 2018.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La plurinacionalidad desde abajo. Autogobierno indígena en Bolivia y Ecuador.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Quito. Flacso.</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Cruz, Edwin. 2013.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Entre el movimiento y el partido político: los movimientos indígenas en Bolivia y Ecuador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Trans-pasando fronteras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4. Págs. 145-171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Freidenberg, Flavia. 2004.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Fracturas sociales, competencia política y sistema de partidos en Ecuador: la traducción política de un cleavage étnico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 Salvador Martí y Josep Sanahuja (Eds.)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Etnicidad, Autonomía y Gobernabilidad en América Latina.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Salamanca. Ediciones Universidad de Salamanca. Págs. 101-138</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Heiss, Claudia.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Chile: los desafíos de un histórico proceso político en tiempos de pandemia</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 Pinillos, Cintia, Esteban Iglesias, Juan B. Lucca y Osvaldo Iazzetta (Eds.)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La democracia a prueba. Los años que votamos en pandemia en las Américas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Págs. 157-180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Hidalgo-Capitán, Antonio y Ana Patricia Cubillo. 2020.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Buen vivir: A Reference for Public Policies and Development in Ecuador and the Governments of the Latin American Left</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En Sánchez, Francisco y Simón Pachano /Eds.)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Assesing the Left Turn in Ecuador</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Palgrave Macmillan. Págs. 257-282</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Martí, Salvador y Josep Sanahuja (Eds.). 2004.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Etnicidad, Autonomía y Gobernabilidad en América Latina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Salamanca. Ediciones Universidad de Salamanca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Mayorga, Fernando. 2012.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Bolivia: populismo, nacionalismo e indigenismo</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 Isidoro Cheresky (Ed.)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¿Qué democracia en América Latina?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Clacso. Págs. 235-250</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Mendonca, Clayton. 2017.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fundación del Estado plurinacional y los dilemas de la representación política en Bolivia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 Vidal de la Rosa, Godofredo (Ed.)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Política latinoamericana contemporánea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Universidad Metropolitana de Azcapotzalco. Págs. 109-140</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Modonesi, Massimo.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El progresismo latinoamericano: un debate de época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 Gaudichaud, Frank, Jeffery Webber y Massimo Modonesi (Eds.)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Los gobiernos progresista latinoamericanos del siglo XXI. Ensayos de interpretación histórica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Págs. 181-229</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Moreno, Daniel y Daniela Osorio. 2022.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¿Legitimidades fragmentadas? Apoyo a la democracia en la región andina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Colombia Internacional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105. Págs. 51-88</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Moreno, Octavio. 2018.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El populismo y lo nacional popular en América Latina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Capítulo 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La fractura hegemónica y la alternativa nacional-popular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Universidad Autónoma de Puebla. Págs. 39-96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Sánchez, Francisco. 2004.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No somos parte del gobierno, somos gobierno. Un análisis del Movimiento de Unidad Plurinacional Pachakutik Nuevo País</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 Salvador Martí y Josep Sanahuja (Eds.)</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Etnicidad, Autonomía y Gobernabilidad en América Latina.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Salamanca. Ediciones Universidad de Salamanca. Págs. 139-161</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Tanaka, Martín. 2003. </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La situación de la democracia en Bolivia, Chile y Ecuador a inicios de siglo.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Lima. Comisión Andina de Juristas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Van Cott, Donna Lee. 2004.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Los movimientos indígenas y sus logros: la representación y el reconocimiento jurídico en los Andes</w:t>
      </w: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 América Latina Hoy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36. Págs. 141.159</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ebding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left" w:pos="4905"/>
      </w:tabs>
      <w:spacing w:after="80" w:before="80" w:line="240" w:lineRule="auto"/>
      <w:ind w:left="0" w:right="0" w:firstLine="0"/>
      <w:jc w:val="center"/>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80" w:before="80" w:line="240" w:lineRule="auto"/>
      <w:ind w:left="0" w:right="0" w:firstLine="0"/>
      <w:jc w:val="both"/>
      <w:rPr>
        <w:rFonts w:ascii="Helvetica Neue Light" w:cs="Helvetica Neue Light" w:eastAsia="Helvetica Neue Light" w:hAnsi="Helvetica Neue Light"/>
        <w:b w:val="0"/>
        <w:i w:val="0"/>
        <w:smallCaps w:val="0"/>
        <w:strike w:val="0"/>
        <w:color w:val="000000"/>
        <w:sz w:val="34"/>
        <w:szCs w:val="3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80" w:before="80"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itulosdelresumen">
    <w:name w:val="titulos del resumen"/>
    <w:basedOn w:val="resumencuerpo"/>
    <w:next w:val="titulosdelresumen"/>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b w:val="1"/>
      <w:w w:val="100"/>
      <w:position w:val="-1"/>
      <w:sz w:val="22"/>
      <w:effect w:val="none"/>
      <w:vertAlign w:val="baseline"/>
      <w:cs w:val="0"/>
      <w:em w:val="none"/>
      <w:lang w:bidi="ar-SA" w:eastAsia="de-DE" w:val="es-ES"/>
    </w:rPr>
  </w:style>
  <w:style w:type="character" w:styleId="resumencuerpoCar">
    <w:name w:val="resumen cuerpo Car"/>
    <w:basedOn w:val="Resumen_TituloCarCar"/>
    <w:next w:val="resumencuerpoCar"/>
    <w:autoRedefine w:val="0"/>
    <w:hidden w:val="0"/>
    <w:qFormat w:val="0"/>
    <w:rPr>
      <w:rFonts w:ascii="Helvetica 35 Thin" w:hAnsi="Helvetica 35 Thin"/>
      <w:w w:val="100"/>
      <w:position w:val="-1"/>
      <w:sz w:val="24"/>
      <w:effect w:val="none"/>
      <w:vertAlign w:val="baseline"/>
      <w:cs w:val="0"/>
      <w:em w:val="none"/>
      <w:lang w:bidi="ar-SA" w:eastAsia="de-DE" w:val="es-ES"/>
    </w:rPr>
  </w:style>
  <w:style w:type="paragraph" w:styleId="Resumen_Titulo">
    <w:name w:val="Resumen_Titulo"/>
    <w:basedOn w:val="Normal"/>
    <w:next w:val="Resumen_Titulo"/>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character" w:styleId="titulosdelresumenCar">
    <w:name w:val="titulos del resumen Car"/>
    <w:next w:val="titulosdelresumenCar"/>
    <w:autoRedefine w:val="0"/>
    <w:hidden w:val="0"/>
    <w:qFormat w:val="0"/>
    <w:rPr>
      <w:rFonts w:ascii="Helvetica 35 Thin" w:hAnsi="Helvetica 35 Thin"/>
      <w:b w:val="1"/>
      <w:w w:val="100"/>
      <w:position w:val="-1"/>
      <w:sz w:val="22"/>
      <w:effect w:val="none"/>
      <w:vertAlign w:val="baseline"/>
      <w:cs w:val="0"/>
      <w:em w:val="none"/>
      <w:lang w:bidi="ar-SA" w:eastAsia="de-DE" w:val="es-ES"/>
    </w:rPr>
  </w:style>
  <w:style w:type="paragraph" w:styleId="Asignatura-nombre">
    <w:name w:val="Asignatura-nombre"/>
    <w:basedOn w:val="Normal"/>
    <w:next w:val="Asignatura-nombre"/>
    <w:autoRedefine w:val="0"/>
    <w:hidden w:val="0"/>
    <w:qFormat w:val="0"/>
    <w:pPr>
      <w:pBdr>
        <w:top w:color="auto" w:space="1" w:sz="4" w:val="single"/>
      </w:pBd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b w:val="1"/>
      <w:bCs w:val="1"/>
      <w:color w:val="808080"/>
      <w:w w:val="100"/>
      <w:position w:val="-1"/>
      <w:sz w:val="32"/>
      <w:szCs w:val="32"/>
      <w:effect w:val="none"/>
      <w:vertAlign w:val="baseline"/>
      <w:cs w:val="0"/>
      <w:em w:val="none"/>
      <w:lang w:bidi="ar-SA" w:eastAsia="de-DE" w:val="es-ES"/>
    </w:rPr>
  </w:style>
  <w:style w:type="character" w:styleId="Resumen_TituloCarCar">
    <w:name w:val="Resumen_Titulo Car Car"/>
    <w:next w:val="Resumen_TituloCarCar"/>
    <w:autoRedefine w:val="0"/>
    <w:hidden w:val="0"/>
    <w:qFormat w:val="0"/>
    <w:rPr>
      <w:rFonts w:ascii="Helvetica 35 Thin" w:hAnsi="Helvetica 35 Thin"/>
      <w:w w:val="100"/>
      <w:position w:val="-1"/>
      <w:sz w:val="24"/>
      <w:effect w:val="none"/>
      <w:vertAlign w:val="baseline"/>
      <w:cs w:val="0"/>
      <w:em w:val="none"/>
      <w:lang w:bidi="ar-SA" w:eastAsia="de-DE" w:val="es-ES"/>
    </w:rPr>
  </w:style>
  <w:style w:type="character" w:styleId="Asignatura-nombreCar">
    <w:name w:val="Asignatura-nombre Car"/>
    <w:next w:val="Asignatura-nombreCar"/>
    <w:autoRedefine w:val="0"/>
    <w:hidden w:val="0"/>
    <w:qFormat w:val="0"/>
    <w:rPr>
      <w:rFonts w:ascii="Helvetica 35 Thin" w:hAnsi="Helvetica 35 Thin"/>
      <w:b w:val="1"/>
      <w:bCs w:val="1"/>
      <w:color w:val="808080"/>
      <w:w w:val="100"/>
      <w:position w:val="-1"/>
      <w:sz w:val="32"/>
      <w:szCs w:val="32"/>
      <w:effect w:val="none"/>
      <w:vertAlign w:val="baseline"/>
      <w:cs w:val="0"/>
      <w:em w:val="none"/>
      <w:lang w:bidi="ar-SA" w:eastAsia="de-DE" w:val="es-ES"/>
    </w:rPr>
  </w:style>
  <w:style w:type="paragraph" w:styleId="Datosprofesores">
    <w:name w:val="Datos profesores"/>
    <w:basedOn w:val="Resumen_Titulo"/>
    <w:next w:val="Datosprofesores"/>
    <w:autoRedefine w:val="0"/>
    <w:hidden w:val="0"/>
    <w:qFormat w:val="0"/>
    <w:pPr>
      <w:suppressAutoHyphens w:val="1"/>
      <w:spacing w:after="80" w:before="80" w:line="1" w:lineRule="atLeast"/>
      <w:ind w:leftChars="-1" w:rightChars="0" w:firstLine="0" w:firstLineChars="-1"/>
      <w:jc w:val="left"/>
      <w:textDirection w:val="btLr"/>
      <w:textAlignment w:val="top"/>
      <w:outlineLvl w:val="0"/>
    </w:pPr>
    <w:rPr>
      <w:rFonts w:ascii="Helvetica 35 Thin" w:hAnsi="Helvetica 35 Thin"/>
      <w:w w:val="100"/>
      <w:position w:val="-1"/>
      <w:sz w:val="22"/>
      <w:effect w:val="none"/>
      <w:vertAlign w:val="baseline"/>
      <w:cs w:val="0"/>
      <w:em w:val="none"/>
      <w:lang w:bidi="ar-SA" w:eastAsia="de-DE" w:val="es-ES"/>
    </w:rPr>
  </w:style>
  <w:style w:type="character" w:styleId="DatosprofesoresCar">
    <w:name w:val="Datos profesores Car"/>
    <w:next w:val="DatosprofesoresCar"/>
    <w:autoRedefine w:val="0"/>
    <w:hidden w:val="0"/>
    <w:qFormat w:val="0"/>
    <w:rPr>
      <w:rFonts w:ascii="Helvetica 35 Thin" w:hAnsi="Helvetica 35 Thin"/>
      <w:w w:val="100"/>
      <w:position w:val="-1"/>
      <w:sz w:val="22"/>
      <w:effect w:val="none"/>
      <w:vertAlign w:val="baseline"/>
      <w:cs w:val="0"/>
      <w:em w:val="none"/>
      <w:lang w:bidi="ar-SA" w:eastAsia="de-DE" w:val="es-ES"/>
    </w:rPr>
  </w:style>
  <w:style w:type="paragraph" w:styleId="resumencuerpo">
    <w:name w:val="resumen cuerpo"/>
    <w:basedOn w:val="Resumen_Titulo"/>
    <w:next w:val="resumencuerpo"/>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Helvetica 35 Thin" w:hAnsi="Helvetica 35 Thin"/>
      <w:w w:val="100"/>
      <w:position w:val="-1"/>
      <w:sz w:val="24"/>
      <w:effect w:val="none"/>
      <w:vertAlign w:val="baseline"/>
      <w:cs w:val="0"/>
      <w:em w:val="none"/>
      <w:lang w:bidi="ar-SA" w:eastAsia="de-DE"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after="80" w:before="80" w:line="1" w:lineRule="atLeast"/>
      <w:ind w:leftChars="-1" w:rightChars="0" w:firstLine="567" w:firstLineChars="-1"/>
      <w:jc w:val="both"/>
      <w:textDirection w:val="btLr"/>
      <w:textAlignment w:val="top"/>
      <w:outlineLvl w:val="0"/>
    </w:pPr>
    <w:rPr>
      <w:w w:val="100"/>
      <w:position w:val="-1"/>
      <w:sz w:val="24"/>
      <w:effect w:val="none"/>
      <w:vertAlign w:val="baseline"/>
      <w:cs w:val="0"/>
      <w:em w:val="none"/>
      <w:lang w:bidi="ar-SA" w:eastAsia="de-DE" w:val="es-ES"/>
    </w:rPr>
  </w:style>
  <w:style w:type="table" w:styleId="Tablaconcuadrícula">
    <w:name w:val="Tabla con cuadrícula"/>
    <w:basedOn w:val="Tablanormal"/>
    <w:next w:val="Tablaconcuadrícula"/>
    <w:autoRedefine w:val="0"/>
    <w:hidden w:val="0"/>
    <w:qFormat w:val="0"/>
    <w:pPr>
      <w:suppressAutoHyphens w:val="1"/>
      <w:spacing w:after="80" w:before="80" w:line="1" w:lineRule="atLeast"/>
      <w:ind w:leftChars="-1" w:rightChars="0" w:firstLine="567" w:firstLineChars="-1"/>
      <w:jc w:val="both"/>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independiente3">
    <w:name w:val="Texto independiente 3"/>
    <w:basedOn w:val="Normal"/>
    <w:next w:val="Textoindependiente3"/>
    <w:autoRedefine w:val="0"/>
    <w:hidden w:val="0"/>
    <w:qFormat w:val="0"/>
    <w:pPr>
      <w:suppressAutoHyphens w:val="1"/>
      <w:spacing w:after="0" w:before="0" w:line="1" w:lineRule="atLeast"/>
      <w:ind w:leftChars="-1" w:rightChars="0" w:firstLine="0"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paragraph" w:styleId="Sangría2det.independiente">
    <w:name w:val="Sangría 2 de t. independiente"/>
    <w:basedOn w:val="Normal"/>
    <w:next w:val="Sangría2det.independiente"/>
    <w:autoRedefine w:val="0"/>
    <w:hidden w:val="0"/>
    <w:qFormat w:val="0"/>
    <w:pPr>
      <w:suppressAutoHyphens w:val="1"/>
      <w:spacing w:after="0" w:before="0" w:line="1" w:lineRule="atLeast"/>
      <w:ind w:leftChars="-1" w:rightChars="0" w:firstLine="708" w:firstLineChars="-1"/>
      <w:jc w:val="both"/>
      <w:textDirection w:val="btLr"/>
      <w:textAlignment w:val="top"/>
      <w:outlineLvl w:val="0"/>
    </w:pPr>
    <w:rPr>
      <w:rFonts w:ascii="Arial" w:cs="Arial" w:hAnsi="Arial"/>
      <w:w w:val="100"/>
      <w:position w:val="-1"/>
      <w:sz w:val="22"/>
      <w:szCs w:val="24"/>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HBxAIYRJ3SPXnRvcF++AvZKdNg==">AMUW2mVDmS/FgpwPvU5UbtjgzxacT6vTCyw2IreXNhQ/SrQ7a5xuZUt05IiF2RdLk6meDDaQDqVoLev7i/rV62Wq5CHW10KU1yf2A6SGLrGeKwdeZq8HgLE=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2022-07-07T15:12:00Z</dcterms:created>
  <dc:creator>Patricia</dc:creator>
</cp:coreProperties>
</file>