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503D6" w14:textId="77777777" w:rsidR="00294610" w:rsidRDefault="00000000">
      <w:pPr>
        <w:pBdr>
          <w:top w:val="nil"/>
          <w:left w:val="nil"/>
          <w:bottom w:val="nil"/>
          <w:right w:val="nil"/>
          <w:between w:val="nil"/>
        </w:pBdr>
        <w:spacing w:before="0" w:after="0"/>
        <w:ind w:firstLine="0"/>
        <w:jc w:val="left"/>
        <w:rPr>
          <w:rFonts w:ascii="Garamond" w:eastAsia="Garamond" w:hAnsi="Garamond" w:cs="Garamond"/>
          <w:color w:val="000000"/>
        </w:rPr>
      </w:pPr>
      <w:r>
        <w:rPr>
          <w:rFonts w:ascii="Garamond" w:eastAsia="Garamond" w:hAnsi="Garamond" w:cs="Garamond"/>
          <w:color w:val="000000"/>
        </w:rPr>
        <w:t>Programa de Estudios Abiertos</w:t>
      </w:r>
    </w:p>
    <w:p w14:paraId="0B910488" w14:textId="77777777" w:rsidR="00294610" w:rsidRDefault="00000000">
      <w:pPr>
        <w:pBdr>
          <w:top w:val="nil"/>
          <w:left w:val="nil"/>
          <w:bottom w:val="nil"/>
          <w:right w:val="nil"/>
          <w:between w:val="nil"/>
        </w:pBdr>
        <w:spacing w:before="0" w:after="0"/>
        <w:ind w:firstLine="0"/>
        <w:jc w:val="left"/>
        <w:rPr>
          <w:rFonts w:ascii="Garamond" w:eastAsia="Garamond" w:hAnsi="Garamond" w:cs="Garamond"/>
          <w:color w:val="000000"/>
        </w:rPr>
      </w:pPr>
      <w:r>
        <w:rPr>
          <w:rFonts w:ascii="Garamond" w:eastAsia="Garamond" w:hAnsi="Garamond" w:cs="Garamond"/>
          <w:color w:val="000000"/>
        </w:rPr>
        <w:t>Instituto de Iberoamérica</w:t>
      </w:r>
    </w:p>
    <w:p w14:paraId="55679C70" w14:textId="77777777" w:rsidR="00294610" w:rsidRDefault="00000000">
      <w:pPr>
        <w:pBdr>
          <w:top w:val="nil"/>
          <w:left w:val="nil"/>
          <w:bottom w:val="nil"/>
          <w:right w:val="nil"/>
          <w:between w:val="nil"/>
        </w:pBdr>
        <w:spacing w:before="0" w:after="0"/>
        <w:ind w:firstLine="0"/>
        <w:jc w:val="left"/>
        <w:rPr>
          <w:rFonts w:ascii="Garamond" w:eastAsia="Garamond" w:hAnsi="Garamond" w:cs="Garamond"/>
          <w:color w:val="000000"/>
        </w:rPr>
      </w:pPr>
      <w:r>
        <w:rPr>
          <w:rFonts w:ascii="Garamond" w:eastAsia="Garamond" w:hAnsi="Garamond" w:cs="Garamond"/>
          <w:color w:val="000000"/>
        </w:rPr>
        <w:t>Universidad de Salamanca</w:t>
      </w:r>
    </w:p>
    <w:p w14:paraId="02E95606" w14:textId="77777777" w:rsidR="00294610" w:rsidRDefault="00000000">
      <w:pPr>
        <w:pBdr>
          <w:top w:val="nil"/>
          <w:left w:val="nil"/>
          <w:bottom w:val="nil"/>
          <w:right w:val="nil"/>
          <w:between w:val="nil"/>
        </w:pBdr>
        <w:spacing w:before="0" w:after="0"/>
        <w:ind w:firstLine="0"/>
        <w:jc w:val="left"/>
        <w:rPr>
          <w:rFonts w:ascii="Garamond" w:eastAsia="Garamond" w:hAnsi="Garamond" w:cs="Garamond"/>
          <w:color w:val="000000"/>
        </w:rPr>
      </w:pPr>
      <w:r>
        <w:rPr>
          <w:rFonts w:ascii="Garamond" w:eastAsia="Garamond" w:hAnsi="Garamond" w:cs="Garamond"/>
          <w:color w:val="000000"/>
        </w:rPr>
        <w:t>Programa 2023/2024</w:t>
      </w:r>
    </w:p>
    <w:p w14:paraId="4C95D5C8" w14:textId="77777777" w:rsidR="00294610" w:rsidRDefault="00294610">
      <w:pPr>
        <w:pBdr>
          <w:top w:val="nil"/>
          <w:left w:val="nil"/>
          <w:bottom w:val="nil"/>
          <w:right w:val="nil"/>
          <w:between w:val="nil"/>
        </w:pBdr>
        <w:spacing w:before="0" w:after="0"/>
        <w:ind w:firstLine="0"/>
        <w:jc w:val="left"/>
        <w:rPr>
          <w:rFonts w:ascii="Garamond" w:eastAsia="Garamond" w:hAnsi="Garamond" w:cs="Garamond"/>
          <w:color w:val="000000"/>
        </w:rPr>
      </w:pPr>
    </w:p>
    <w:p w14:paraId="2B373CF1" w14:textId="77777777" w:rsidR="00294610" w:rsidRDefault="00294610">
      <w:pPr>
        <w:pBdr>
          <w:top w:val="nil"/>
          <w:left w:val="nil"/>
          <w:bottom w:val="nil"/>
          <w:right w:val="nil"/>
          <w:between w:val="nil"/>
        </w:pBdr>
        <w:spacing w:before="0" w:after="0"/>
        <w:ind w:firstLine="0"/>
        <w:jc w:val="left"/>
        <w:rPr>
          <w:rFonts w:ascii="Garamond" w:eastAsia="Garamond" w:hAnsi="Garamond" w:cs="Garamond"/>
          <w:color w:val="000000"/>
        </w:rPr>
      </w:pPr>
    </w:p>
    <w:p w14:paraId="0129A785" w14:textId="77777777" w:rsidR="00294610" w:rsidRDefault="00000000">
      <w:pPr>
        <w:pBdr>
          <w:top w:val="single" w:sz="4" w:space="1" w:color="000000"/>
          <w:left w:val="nil"/>
          <w:bottom w:val="nil"/>
          <w:right w:val="nil"/>
          <w:between w:val="nil"/>
        </w:pBdr>
        <w:ind w:firstLine="0"/>
        <w:jc w:val="left"/>
        <w:rPr>
          <w:rFonts w:ascii="Garamond" w:eastAsia="Garamond" w:hAnsi="Garamond" w:cs="Garamond"/>
          <w:b/>
          <w:color w:val="808080"/>
          <w:sz w:val="28"/>
          <w:szCs w:val="28"/>
        </w:rPr>
      </w:pPr>
      <w:r>
        <w:rPr>
          <w:rFonts w:ascii="Garamond" w:eastAsia="Garamond" w:hAnsi="Garamond" w:cs="Garamond"/>
          <w:b/>
          <w:color w:val="808080"/>
          <w:sz w:val="28"/>
          <w:szCs w:val="28"/>
        </w:rPr>
        <w:t xml:space="preserve">Nombre del Curso:  </w:t>
      </w:r>
    </w:p>
    <w:p w14:paraId="360C551C" w14:textId="77777777" w:rsidR="00294610" w:rsidRDefault="00000000">
      <w:pPr>
        <w:pBdr>
          <w:top w:val="single" w:sz="4" w:space="1" w:color="000000"/>
          <w:left w:val="nil"/>
          <w:bottom w:val="nil"/>
          <w:right w:val="nil"/>
          <w:between w:val="nil"/>
        </w:pBdr>
        <w:ind w:firstLine="0"/>
        <w:jc w:val="left"/>
        <w:rPr>
          <w:rFonts w:ascii="Garamond" w:eastAsia="Garamond" w:hAnsi="Garamond" w:cs="Garamond"/>
          <w:b/>
          <w:color w:val="808080"/>
          <w:sz w:val="28"/>
          <w:szCs w:val="28"/>
        </w:rPr>
      </w:pPr>
      <w:r>
        <w:rPr>
          <w:rFonts w:ascii="Garamond" w:eastAsia="Garamond" w:hAnsi="Garamond" w:cs="Garamond"/>
          <w:b/>
          <w:color w:val="000000"/>
          <w:sz w:val="28"/>
          <w:szCs w:val="28"/>
        </w:rPr>
        <w:t>Relaciones Internacionales en América Latina II (1945-presente)</w:t>
      </w:r>
    </w:p>
    <w:tbl>
      <w:tblPr>
        <w:tblStyle w:val="a"/>
        <w:tblW w:w="8644" w:type="dxa"/>
        <w:tblInd w:w="-115"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4322"/>
        <w:gridCol w:w="4322"/>
      </w:tblGrid>
      <w:tr w:rsidR="00294610" w14:paraId="01F758AA" w14:textId="77777777">
        <w:tc>
          <w:tcPr>
            <w:tcW w:w="4322" w:type="dxa"/>
          </w:tcPr>
          <w:p w14:paraId="1229EB11" w14:textId="77777777" w:rsidR="00294610" w:rsidRDefault="00000000">
            <w:pPr>
              <w:pBdr>
                <w:top w:val="nil"/>
                <w:left w:val="nil"/>
                <w:bottom w:val="nil"/>
                <w:right w:val="nil"/>
                <w:between w:val="nil"/>
              </w:pBdr>
              <w:ind w:firstLine="0"/>
              <w:jc w:val="left"/>
              <w:rPr>
                <w:rFonts w:ascii="Garamond" w:eastAsia="Garamond" w:hAnsi="Garamond" w:cs="Garamond"/>
                <w:color w:val="000000"/>
              </w:rPr>
            </w:pPr>
            <w:r>
              <w:rPr>
                <w:rFonts w:ascii="Webdings" w:eastAsia="Webdings" w:hAnsi="Webdings" w:cs="Webdings"/>
                <w:color w:val="000000"/>
              </w:rPr>
              <w:t></w:t>
            </w:r>
            <w:r>
              <w:rPr>
                <w:rFonts w:ascii="Garamond" w:eastAsia="Garamond" w:hAnsi="Garamond" w:cs="Garamond"/>
                <w:color w:val="000000"/>
              </w:rPr>
              <w:t xml:space="preserve"> Prof. Nombre del Profesor</w:t>
            </w:r>
          </w:p>
          <w:p w14:paraId="6D2BAC96" w14:textId="77777777" w:rsidR="00294610" w:rsidRDefault="00000000">
            <w:pPr>
              <w:pBdr>
                <w:top w:val="nil"/>
                <w:left w:val="nil"/>
                <w:bottom w:val="nil"/>
                <w:right w:val="nil"/>
                <w:between w:val="nil"/>
              </w:pBdr>
              <w:ind w:firstLine="0"/>
              <w:jc w:val="left"/>
              <w:rPr>
                <w:rFonts w:ascii="Garamond" w:eastAsia="Garamond" w:hAnsi="Garamond" w:cs="Garamond"/>
                <w:color w:val="000000"/>
              </w:rPr>
            </w:pPr>
            <w:r>
              <w:rPr>
                <w:rFonts w:ascii="Garamond" w:eastAsia="Garamond" w:hAnsi="Garamond" w:cs="Garamond"/>
                <w:color w:val="000000"/>
              </w:rPr>
              <w:t>Andrés Malamud</w:t>
            </w:r>
          </w:p>
        </w:tc>
        <w:tc>
          <w:tcPr>
            <w:tcW w:w="4322" w:type="dxa"/>
          </w:tcPr>
          <w:p w14:paraId="3F88E649" w14:textId="77777777" w:rsidR="00294610" w:rsidRDefault="00000000">
            <w:pPr>
              <w:pBdr>
                <w:top w:val="nil"/>
                <w:left w:val="nil"/>
                <w:bottom w:val="nil"/>
                <w:right w:val="nil"/>
                <w:between w:val="nil"/>
              </w:pBdr>
              <w:ind w:firstLine="0"/>
              <w:jc w:val="left"/>
              <w:rPr>
                <w:rFonts w:ascii="Garamond" w:eastAsia="Garamond" w:hAnsi="Garamond" w:cs="Garamond"/>
                <w:color w:val="000000"/>
              </w:rPr>
            </w:pPr>
            <w:r>
              <w:rPr>
                <w:rFonts w:ascii="Garamond" w:eastAsia="Garamond" w:hAnsi="Garamond" w:cs="Garamond"/>
                <w:color w:val="000000"/>
              </w:rPr>
              <w:t>e-mail: amalamud@ics.ulisboa.pt</w:t>
            </w:r>
          </w:p>
        </w:tc>
      </w:tr>
      <w:tr w:rsidR="00294610" w14:paraId="4E0F2D33" w14:textId="77777777">
        <w:tc>
          <w:tcPr>
            <w:tcW w:w="4322" w:type="dxa"/>
          </w:tcPr>
          <w:p w14:paraId="09111295" w14:textId="77777777" w:rsidR="00294610" w:rsidRDefault="00000000">
            <w:pPr>
              <w:pBdr>
                <w:top w:val="nil"/>
                <w:left w:val="nil"/>
                <w:bottom w:val="nil"/>
                <w:right w:val="nil"/>
                <w:between w:val="nil"/>
              </w:pBdr>
              <w:ind w:firstLine="0"/>
              <w:jc w:val="left"/>
              <w:rPr>
                <w:rFonts w:ascii="Garamond" w:eastAsia="Garamond" w:hAnsi="Garamond" w:cs="Garamond"/>
                <w:color w:val="000000"/>
              </w:rPr>
            </w:pPr>
            <w:r>
              <w:rPr>
                <w:rFonts w:ascii="Garamond" w:eastAsia="Garamond" w:hAnsi="Garamond" w:cs="Garamond"/>
                <w:color w:val="000000"/>
              </w:rPr>
              <w:t>Institución: Instituto de Ciencias Sociales, Universidad de Lisboa</w:t>
            </w:r>
          </w:p>
        </w:tc>
        <w:tc>
          <w:tcPr>
            <w:tcW w:w="4322" w:type="dxa"/>
          </w:tcPr>
          <w:p w14:paraId="6F0280AC" w14:textId="77777777" w:rsidR="00294610" w:rsidRDefault="00294610">
            <w:pPr>
              <w:pBdr>
                <w:top w:val="nil"/>
                <w:left w:val="nil"/>
                <w:bottom w:val="nil"/>
                <w:right w:val="nil"/>
                <w:between w:val="nil"/>
              </w:pBdr>
              <w:ind w:firstLine="0"/>
              <w:jc w:val="left"/>
              <w:rPr>
                <w:rFonts w:ascii="Garamond" w:eastAsia="Garamond" w:hAnsi="Garamond" w:cs="Garamond"/>
                <w:color w:val="000000"/>
              </w:rPr>
            </w:pPr>
          </w:p>
        </w:tc>
      </w:tr>
    </w:tbl>
    <w:p w14:paraId="62BAA278" w14:textId="77777777" w:rsidR="00294610" w:rsidRDefault="00294610">
      <w:pPr>
        <w:pBdr>
          <w:top w:val="nil"/>
          <w:left w:val="nil"/>
          <w:bottom w:val="nil"/>
          <w:right w:val="nil"/>
          <w:between w:val="nil"/>
        </w:pBdr>
        <w:spacing w:before="0" w:after="0"/>
        <w:ind w:firstLine="0"/>
        <w:rPr>
          <w:rFonts w:ascii="Garamond" w:eastAsia="Garamond" w:hAnsi="Garamond" w:cs="Garamond"/>
          <w:color w:val="000000"/>
        </w:rPr>
      </w:pPr>
    </w:p>
    <w:p w14:paraId="2CF7B534" w14:textId="77777777" w:rsidR="00294610" w:rsidRDefault="00294610">
      <w:pPr>
        <w:pBdr>
          <w:top w:val="nil"/>
          <w:left w:val="nil"/>
          <w:bottom w:val="nil"/>
          <w:right w:val="nil"/>
          <w:between w:val="nil"/>
        </w:pBdr>
        <w:spacing w:before="0" w:after="0"/>
        <w:ind w:firstLine="0"/>
        <w:rPr>
          <w:rFonts w:ascii="Garamond" w:eastAsia="Garamond" w:hAnsi="Garamond" w:cs="Garamond"/>
          <w:color w:val="000000"/>
        </w:rPr>
      </w:pPr>
    </w:p>
    <w:p w14:paraId="35EF5D0A" w14:textId="77777777" w:rsidR="00294610" w:rsidRDefault="00000000">
      <w:pPr>
        <w:pBdr>
          <w:top w:val="nil"/>
          <w:left w:val="nil"/>
          <w:bottom w:val="nil"/>
          <w:right w:val="nil"/>
          <w:between w:val="nil"/>
        </w:pBdr>
        <w:spacing w:before="120" w:after="120"/>
        <w:ind w:firstLine="0"/>
        <w:rPr>
          <w:rFonts w:ascii="Garamond" w:eastAsia="Garamond" w:hAnsi="Garamond" w:cs="Garamond"/>
          <w:b/>
          <w:color w:val="000000"/>
        </w:rPr>
      </w:pPr>
      <w:r>
        <w:rPr>
          <w:rFonts w:ascii="Garamond" w:eastAsia="Garamond" w:hAnsi="Garamond" w:cs="Garamond"/>
          <w:b/>
          <w:color w:val="000000"/>
        </w:rPr>
        <w:t xml:space="preserve">Resumen del curso: </w:t>
      </w:r>
    </w:p>
    <w:p w14:paraId="3AD1179C" w14:textId="77777777" w:rsidR="00294610" w:rsidRDefault="00000000">
      <w:pPr>
        <w:pBdr>
          <w:top w:val="nil"/>
          <w:left w:val="nil"/>
          <w:bottom w:val="nil"/>
          <w:right w:val="nil"/>
          <w:between w:val="nil"/>
        </w:pBdr>
        <w:spacing w:before="0" w:after="0"/>
        <w:ind w:firstLine="0"/>
        <w:rPr>
          <w:rFonts w:ascii="Garamond" w:eastAsia="Garamond" w:hAnsi="Garamond" w:cs="Garamond"/>
          <w:color w:val="000000"/>
        </w:rPr>
      </w:pPr>
      <w:r>
        <w:rPr>
          <w:rFonts w:ascii="Garamond" w:eastAsia="Garamond" w:hAnsi="Garamond" w:cs="Garamond"/>
          <w:color w:val="000000"/>
        </w:rPr>
        <w:t>América Latina se constituyó como conjunto de países independientes por oposición a Europa y bajo la “protección” de Estados Unidos. La dependencia de EEUU durante la Guerra Fría se plasmó en instituciones internacionales como la Organización de Estados Americanos. Cuando la caída de la Unión Soviética relajó la propensión estadounidense para controlar su hemisferio, la mayor autonomía regional se plasmó en una miríada de organizaciones subregionales latinoamericanas. La Unión Europea y sus países miembros intentaron recuperar influencia mediante varios acuerdos de asociación e instituciones como la Organización de Estados Iberoamericanos, pero en las últimas décadas fue China la que aumentó su presencia. En última instancia, este curso discute cuál es la relevancia actual de América Latina para el mundo y cuáles son las perspectivas que el mundo ofrece para América Latina.</w:t>
      </w:r>
    </w:p>
    <w:p w14:paraId="02838063" w14:textId="77777777" w:rsidR="00294610" w:rsidRDefault="00294610">
      <w:pPr>
        <w:pBdr>
          <w:top w:val="nil"/>
          <w:left w:val="nil"/>
          <w:bottom w:val="nil"/>
          <w:right w:val="nil"/>
          <w:between w:val="nil"/>
        </w:pBdr>
        <w:spacing w:before="0" w:after="0"/>
        <w:ind w:firstLine="0"/>
        <w:rPr>
          <w:rFonts w:ascii="Garamond" w:eastAsia="Garamond" w:hAnsi="Garamond" w:cs="Garamond"/>
          <w:color w:val="000000"/>
        </w:rPr>
      </w:pPr>
    </w:p>
    <w:p w14:paraId="09E0F8BC" w14:textId="77777777" w:rsidR="00294610" w:rsidRDefault="00294610">
      <w:pPr>
        <w:pBdr>
          <w:top w:val="nil"/>
          <w:left w:val="nil"/>
          <w:bottom w:val="nil"/>
          <w:right w:val="nil"/>
          <w:between w:val="nil"/>
        </w:pBdr>
        <w:spacing w:before="0" w:after="0"/>
        <w:ind w:firstLine="0"/>
        <w:rPr>
          <w:rFonts w:ascii="Garamond" w:eastAsia="Garamond" w:hAnsi="Garamond" w:cs="Garamond"/>
          <w:color w:val="000000"/>
        </w:rPr>
      </w:pPr>
    </w:p>
    <w:p w14:paraId="16B30291" w14:textId="77777777" w:rsidR="00294610" w:rsidRDefault="00000000">
      <w:pPr>
        <w:pBdr>
          <w:top w:val="nil"/>
          <w:left w:val="nil"/>
          <w:bottom w:val="nil"/>
          <w:right w:val="nil"/>
          <w:between w:val="nil"/>
        </w:pBdr>
        <w:spacing w:before="120" w:after="120"/>
        <w:ind w:firstLine="0"/>
        <w:rPr>
          <w:rFonts w:ascii="Garamond" w:eastAsia="Garamond" w:hAnsi="Garamond" w:cs="Garamond"/>
          <w:b/>
          <w:color w:val="000000"/>
        </w:rPr>
      </w:pPr>
      <w:r>
        <w:rPr>
          <w:rFonts w:ascii="Garamond" w:eastAsia="Garamond" w:hAnsi="Garamond" w:cs="Garamond"/>
          <w:b/>
          <w:color w:val="000000"/>
        </w:rPr>
        <w:t>Objetivos:</w:t>
      </w:r>
    </w:p>
    <w:p w14:paraId="6C763CF8" w14:textId="77777777" w:rsidR="00294610" w:rsidRDefault="00000000">
      <w:pPr>
        <w:pBdr>
          <w:top w:val="nil"/>
          <w:left w:val="nil"/>
          <w:bottom w:val="nil"/>
          <w:right w:val="nil"/>
          <w:between w:val="nil"/>
        </w:pBdr>
        <w:spacing w:before="120" w:after="120"/>
        <w:ind w:firstLine="0"/>
        <w:rPr>
          <w:rFonts w:ascii="Garamond" w:eastAsia="Garamond" w:hAnsi="Garamond" w:cs="Garamond"/>
          <w:color w:val="000000"/>
        </w:rPr>
      </w:pPr>
      <w:r>
        <w:rPr>
          <w:rFonts w:ascii="Garamond" w:eastAsia="Garamond" w:hAnsi="Garamond" w:cs="Garamond"/>
          <w:color w:val="000000"/>
        </w:rPr>
        <w:t>(1) Entender el auge y declinación de la influencia de EEUU sobre América Latina.</w:t>
      </w:r>
    </w:p>
    <w:p w14:paraId="0F0DF1EB" w14:textId="77777777" w:rsidR="00294610" w:rsidRDefault="00000000">
      <w:pPr>
        <w:pBdr>
          <w:top w:val="nil"/>
          <w:left w:val="nil"/>
          <w:bottom w:val="nil"/>
          <w:right w:val="nil"/>
          <w:between w:val="nil"/>
        </w:pBdr>
        <w:spacing w:before="120" w:after="120"/>
        <w:ind w:firstLine="0"/>
        <w:rPr>
          <w:rFonts w:ascii="Garamond" w:eastAsia="Garamond" w:hAnsi="Garamond" w:cs="Garamond"/>
          <w:color w:val="000000"/>
        </w:rPr>
      </w:pPr>
      <w:r>
        <w:rPr>
          <w:rFonts w:ascii="Garamond" w:eastAsia="Garamond" w:hAnsi="Garamond" w:cs="Garamond"/>
          <w:color w:val="000000"/>
        </w:rPr>
        <w:t>(2) Identificar los esfuerzos europeos para recuperar influencia en la región.</w:t>
      </w:r>
    </w:p>
    <w:p w14:paraId="25066AD0" w14:textId="77777777" w:rsidR="00294610" w:rsidRDefault="00000000">
      <w:pPr>
        <w:pBdr>
          <w:top w:val="nil"/>
          <w:left w:val="nil"/>
          <w:bottom w:val="nil"/>
          <w:right w:val="nil"/>
          <w:between w:val="nil"/>
        </w:pBdr>
        <w:spacing w:before="120" w:after="120"/>
        <w:ind w:firstLine="0"/>
        <w:rPr>
          <w:rFonts w:ascii="Garamond" w:eastAsia="Garamond" w:hAnsi="Garamond" w:cs="Garamond"/>
          <w:color w:val="000000"/>
        </w:rPr>
      </w:pPr>
      <w:r>
        <w:rPr>
          <w:rFonts w:ascii="Garamond" w:eastAsia="Garamond" w:hAnsi="Garamond" w:cs="Garamond"/>
          <w:color w:val="000000"/>
        </w:rPr>
        <w:t>(3) Evaluar los avances y mutaciones de la presencia china en América Latina.</w:t>
      </w:r>
    </w:p>
    <w:p w14:paraId="023C6803" w14:textId="77777777" w:rsidR="00294610" w:rsidRDefault="00000000">
      <w:pPr>
        <w:pBdr>
          <w:top w:val="nil"/>
          <w:left w:val="nil"/>
          <w:bottom w:val="nil"/>
          <w:right w:val="nil"/>
          <w:between w:val="nil"/>
        </w:pBdr>
        <w:spacing w:before="120" w:after="120"/>
        <w:ind w:firstLine="0"/>
        <w:rPr>
          <w:rFonts w:ascii="Garamond" w:eastAsia="Garamond" w:hAnsi="Garamond" w:cs="Garamond"/>
          <w:color w:val="000000"/>
        </w:rPr>
      </w:pPr>
      <w:r>
        <w:rPr>
          <w:rFonts w:ascii="Garamond" w:eastAsia="Garamond" w:hAnsi="Garamond" w:cs="Garamond"/>
          <w:color w:val="000000"/>
        </w:rPr>
        <w:t>(4) Definir y medir el nivel de relevancia global de América Latina.</w:t>
      </w:r>
    </w:p>
    <w:p w14:paraId="626EE247" w14:textId="77777777" w:rsidR="00294610" w:rsidRDefault="00294610">
      <w:pPr>
        <w:pBdr>
          <w:top w:val="nil"/>
          <w:left w:val="nil"/>
          <w:bottom w:val="nil"/>
          <w:right w:val="nil"/>
          <w:between w:val="nil"/>
        </w:pBdr>
        <w:spacing w:before="120" w:after="120"/>
        <w:ind w:firstLine="0"/>
        <w:rPr>
          <w:rFonts w:ascii="Garamond" w:eastAsia="Garamond" w:hAnsi="Garamond" w:cs="Garamond"/>
          <w:color w:val="000000"/>
        </w:rPr>
      </w:pPr>
    </w:p>
    <w:p w14:paraId="52EB978F" w14:textId="77777777" w:rsidR="00294610" w:rsidRDefault="00000000">
      <w:pPr>
        <w:pBdr>
          <w:top w:val="nil"/>
          <w:left w:val="nil"/>
          <w:bottom w:val="nil"/>
          <w:right w:val="nil"/>
          <w:between w:val="nil"/>
        </w:pBdr>
        <w:spacing w:before="120" w:after="120"/>
        <w:ind w:firstLine="0"/>
        <w:rPr>
          <w:rFonts w:ascii="Garamond" w:eastAsia="Garamond" w:hAnsi="Garamond" w:cs="Garamond"/>
          <w:b/>
          <w:color w:val="000000"/>
        </w:rPr>
      </w:pPr>
      <w:r>
        <w:rPr>
          <w:rFonts w:ascii="Garamond" w:eastAsia="Garamond" w:hAnsi="Garamond" w:cs="Garamond"/>
          <w:b/>
          <w:color w:val="000000"/>
        </w:rPr>
        <w:t>Estructura del curso (temario):</w:t>
      </w:r>
    </w:p>
    <w:p w14:paraId="33222AA8" w14:textId="77777777" w:rsidR="00294610" w:rsidRDefault="00294610">
      <w:pPr>
        <w:numPr>
          <w:ilvl w:val="0"/>
          <w:numId w:val="1"/>
        </w:numPr>
        <w:rPr>
          <w:rFonts w:ascii="Garamond" w:eastAsia="Garamond" w:hAnsi="Garamond" w:cs="Garamond"/>
        </w:rPr>
      </w:pPr>
    </w:p>
    <w:p w14:paraId="40CB437A" w14:textId="77777777" w:rsidR="00294610" w:rsidRDefault="00294610">
      <w:pPr>
        <w:numPr>
          <w:ilvl w:val="0"/>
          <w:numId w:val="1"/>
        </w:numPr>
        <w:rPr>
          <w:rFonts w:ascii="Garamond" w:eastAsia="Garamond" w:hAnsi="Garamond" w:cs="Garamond"/>
        </w:rPr>
      </w:pPr>
    </w:p>
    <w:p w14:paraId="50E86DFF" w14:textId="77777777" w:rsidR="00294610" w:rsidRDefault="00294610">
      <w:pPr>
        <w:ind w:firstLine="0"/>
        <w:rPr>
          <w:rFonts w:ascii="Garamond" w:eastAsia="Garamond" w:hAnsi="Garamond" w:cs="Garamond"/>
        </w:rPr>
      </w:pPr>
    </w:p>
    <w:p w14:paraId="7FD09ED5" w14:textId="77777777" w:rsidR="00294610" w:rsidRDefault="00000000">
      <w:pPr>
        <w:pBdr>
          <w:top w:val="nil"/>
          <w:left w:val="nil"/>
          <w:bottom w:val="nil"/>
          <w:right w:val="nil"/>
          <w:between w:val="nil"/>
        </w:pBdr>
        <w:spacing w:before="120" w:after="120"/>
        <w:ind w:firstLine="0"/>
        <w:rPr>
          <w:rFonts w:ascii="Garamond" w:eastAsia="Garamond" w:hAnsi="Garamond" w:cs="Garamond"/>
          <w:b/>
          <w:color w:val="000000"/>
        </w:rPr>
      </w:pPr>
      <w:r>
        <w:rPr>
          <w:rFonts w:ascii="Garamond" w:eastAsia="Garamond" w:hAnsi="Garamond" w:cs="Garamond"/>
          <w:b/>
          <w:color w:val="000000"/>
        </w:rPr>
        <w:lastRenderedPageBreak/>
        <w:t>Evaluación:</w:t>
      </w:r>
    </w:p>
    <w:p w14:paraId="016A515C" w14:textId="77777777" w:rsidR="00294610" w:rsidRDefault="00000000">
      <w:pPr>
        <w:pBdr>
          <w:top w:val="nil"/>
          <w:left w:val="nil"/>
          <w:bottom w:val="nil"/>
          <w:right w:val="nil"/>
          <w:between w:val="nil"/>
        </w:pBdr>
        <w:spacing w:before="120" w:after="120"/>
        <w:ind w:firstLine="0"/>
        <w:rPr>
          <w:rFonts w:ascii="Garamond" w:eastAsia="Garamond" w:hAnsi="Garamond" w:cs="Garamond"/>
          <w:color w:val="000000"/>
        </w:rPr>
      </w:pPr>
      <w:proofErr w:type="gramStart"/>
      <w:r>
        <w:rPr>
          <w:rFonts w:ascii="Garamond" w:eastAsia="Garamond" w:hAnsi="Garamond" w:cs="Garamond"/>
          <w:color w:val="000000"/>
        </w:rPr>
        <w:t>De acuerdo a</w:t>
      </w:r>
      <w:proofErr w:type="gramEnd"/>
      <w:r>
        <w:rPr>
          <w:rFonts w:ascii="Garamond" w:eastAsia="Garamond" w:hAnsi="Garamond" w:cs="Garamond"/>
          <w:color w:val="000000"/>
        </w:rPr>
        <w:t xml:space="preserve"> las normas del Instituto y previstas en la convocatoria del curso, la evaluación implicará un conocimiento adecuado de las cuatro lecturas obligatorias y los temas debatidos en clase, y tendrá la forma de un ejercicio escrito que implique una carga no mayor a 3 horas. Los alumnos podrán optar entre un ensayo o un ejercicio práctico.</w:t>
      </w:r>
    </w:p>
    <w:p w14:paraId="66BFF330" w14:textId="77777777" w:rsidR="00294610" w:rsidRDefault="00294610">
      <w:pPr>
        <w:pBdr>
          <w:top w:val="nil"/>
          <w:left w:val="nil"/>
          <w:bottom w:val="nil"/>
          <w:right w:val="nil"/>
          <w:between w:val="nil"/>
        </w:pBdr>
        <w:spacing w:before="120" w:after="120"/>
        <w:ind w:firstLine="0"/>
        <w:rPr>
          <w:rFonts w:ascii="Garamond" w:eastAsia="Garamond" w:hAnsi="Garamond" w:cs="Garamond"/>
          <w:b/>
          <w:color w:val="000000"/>
        </w:rPr>
      </w:pPr>
    </w:p>
    <w:p w14:paraId="6CE15E30" w14:textId="77777777" w:rsidR="00294610" w:rsidRDefault="00000000">
      <w:pPr>
        <w:pBdr>
          <w:top w:val="nil"/>
          <w:left w:val="nil"/>
          <w:bottom w:val="nil"/>
          <w:right w:val="nil"/>
          <w:between w:val="nil"/>
        </w:pBdr>
        <w:spacing w:before="120" w:after="120"/>
        <w:ind w:firstLine="0"/>
        <w:rPr>
          <w:rFonts w:ascii="Garamond" w:eastAsia="Garamond" w:hAnsi="Garamond" w:cs="Garamond"/>
          <w:b/>
          <w:color w:val="000000"/>
        </w:rPr>
      </w:pPr>
      <w:r>
        <w:rPr>
          <w:rFonts w:ascii="Garamond" w:eastAsia="Garamond" w:hAnsi="Garamond" w:cs="Garamond"/>
          <w:b/>
          <w:color w:val="000000"/>
        </w:rPr>
        <w:t>Bibliografía:</w:t>
      </w:r>
    </w:p>
    <w:p w14:paraId="1CE7565E" w14:textId="77777777" w:rsidR="00294610" w:rsidRDefault="00000000">
      <w:pPr>
        <w:pBdr>
          <w:top w:val="nil"/>
          <w:left w:val="nil"/>
          <w:bottom w:val="nil"/>
          <w:right w:val="nil"/>
          <w:between w:val="nil"/>
        </w:pBdr>
        <w:spacing w:before="120" w:after="120"/>
        <w:ind w:firstLine="0"/>
        <w:rPr>
          <w:rFonts w:ascii="Garamond" w:eastAsia="Garamond" w:hAnsi="Garamond" w:cs="Garamond"/>
          <w:color w:val="000000"/>
        </w:rPr>
      </w:pPr>
      <w:r>
        <w:rPr>
          <w:rFonts w:ascii="Garamond" w:eastAsia="Garamond" w:hAnsi="Garamond" w:cs="Garamond"/>
          <w:color w:val="000000"/>
        </w:rPr>
        <w:t>Parte 1</w:t>
      </w:r>
    </w:p>
    <w:p w14:paraId="71E92272" w14:textId="77777777" w:rsidR="00294610" w:rsidRDefault="00000000">
      <w:pPr>
        <w:spacing w:line="276" w:lineRule="auto"/>
        <w:ind w:left="720" w:hanging="720"/>
        <w:rPr>
          <w:rFonts w:ascii="Garamond" w:eastAsia="Garamond" w:hAnsi="Garamond" w:cs="Garamond"/>
          <w:highlight w:val="white"/>
        </w:rPr>
      </w:pPr>
      <w:r>
        <w:rPr>
          <w:rFonts w:ascii="Garamond" w:eastAsia="Garamond" w:hAnsi="Garamond" w:cs="Garamond"/>
          <w:highlight w:val="white"/>
        </w:rPr>
        <w:t>Russell, Roberto y Fabián Calle (2022) “</w:t>
      </w:r>
      <w:hyperlink r:id="rId8">
        <w:r>
          <w:rPr>
            <w:rFonts w:ascii="Garamond" w:eastAsia="Garamond" w:hAnsi="Garamond" w:cs="Garamond"/>
            <w:color w:val="0000FF"/>
            <w:highlight w:val="white"/>
            <w:u w:val="single"/>
          </w:rPr>
          <w:t xml:space="preserve">Periferias turbulentas </w:t>
        </w:r>
        <w:proofErr w:type="gramStart"/>
        <w:r>
          <w:rPr>
            <w:rFonts w:ascii="Garamond" w:eastAsia="Garamond" w:hAnsi="Garamond" w:cs="Garamond"/>
            <w:color w:val="0000FF"/>
            <w:highlight w:val="white"/>
            <w:u w:val="single"/>
          </w:rPr>
          <w:t>e</w:t>
        </w:r>
        <w:proofErr w:type="gramEnd"/>
        <w:r>
          <w:rPr>
            <w:rFonts w:ascii="Garamond" w:eastAsia="Garamond" w:hAnsi="Garamond" w:cs="Garamond"/>
            <w:color w:val="0000FF"/>
            <w:highlight w:val="white"/>
            <w:u w:val="single"/>
          </w:rPr>
          <w:t xml:space="preserve"> penetradas: seu papel na expansão dos interesses de segurança dos EUA na América Latina</w:t>
        </w:r>
      </w:hyperlink>
      <w:r>
        <w:rPr>
          <w:rFonts w:ascii="Garamond" w:eastAsia="Garamond" w:hAnsi="Garamond" w:cs="Garamond"/>
          <w:highlight w:val="white"/>
        </w:rPr>
        <w:t>”, </w:t>
      </w:r>
      <w:r>
        <w:rPr>
          <w:rFonts w:ascii="Garamond" w:eastAsia="Garamond" w:hAnsi="Garamond" w:cs="Garamond"/>
          <w:i/>
          <w:highlight w:val="white"/>
        </w:rPr>
        <w:t>CEBRI-Revista: Brazilian Journal of International Affairs</w:t>
      </w:r>
      <w:r>
        <w:rPr>
          <w:rFonts w:ascii="Garamond" w:eastAsia="Garamond" w:hAnsi="Garamond" w:cs="Garamond"/>
          <w:highlight w:val="white"/>
        </w:rPr>
        <w:t xml:space="preserve"> 1(1) 167-189.</w:t>
      </w:r>
    </w:p>
    <w:p w14:paraId="17DB6880" w14:textId="77777777" w:rsidR="00294610" w:rsidRDefault="00294610">
      <w:pPr>
        <w:spacing w:line="276" w:lineRule="auto"/>
        <w:ind w:left="720" w:hanging="720"/>
        <w:rPr>
          <w:rFonts w:ascii="Garamond" w:eastAsia="Garamond" w:hAnsi="Garamond" w:cs="Garamond"/>
          <w:highlight w:val="white"/>
        </w:rPr>
      </w:pPr>
    </w:p>
    <w:p w14:paraId="5744BE5B" w14:textId="77777777" w:rsidR="00294610" w:rsidRPr="007402FD" w:rsidRDefault="00000000">
      <w:pPr>
        <w:spacing w:line="276" w:lineRule="auto"/>
        <w:ind w:left="720" w:hanging="720"/>
        <w:rPr>
          <w:rFonts w:ascii="Garamond" w:eastAsia="Garamond" w:hAnsi="Garamond" w:cs="Garamond"/>
          <w:color w:val="000000"/>
          <w:lang w:val="en-US"/>
        </w:rPr>
      </w:pPr>
      <w:r w:rsidRPr="007402FD">
        <w:rPr>
          <w:rFonts w:ascii="Garamond" w:eastAsia="Garamond" w:hAnsi="Garamond" w:cs="Garamond"/>
          <w:highlight w:val="white"/>
          <w:lang w:val="en-US"/>
        </w:rPr>
        <w:t>Parte 2</w:t>
      </w:r>
    </w:p>
    <w:p w14:paraId="03478A52" w14:textId="77777777" w:rsidR="00294610" w:rsidRDefault="00000000">
      <w:pPr>
        <w:spacing w:after="120"/>
        <w:ind w:left="720" w:hanging="720"/>
        <w:rPr>
          <w:rFonts w:ascii="Garamond" w:eastAsia="Garamond" w:hAnsi="Garamond" w:cs="Garamond"/>
        </w:rPr>
      </w:pPr>
      <w:bookmarkStart w:id="0" w:name="_heading=h.gjdgxs" w:colFirst="0" w:colLast="0"/>
      <w:bookmarkEnd w:id="0"/>
      <w:r w:rsidRPr="007402FD">
        <w:rPr>
          <w:rFonts w:ascii="Garamond" w:eastAsia="Garamond" w:hAnsi="Garamond" w:cs="Garamond"/>
          <w:color w:val="000000"/>
          <w:lang w:val="en-US"/>
        </w:rPr>
        <w:t>Malamud, Andrés (2022)</w:t>
      </w:r>
      <w:r w:rsidRPr="007402FD">
        <w:rPr>
          <w:rFonts w:ascii="Garamond" w:eastAsia="Garamond" w:hAnsi="Garamond" w:cs="Garamond"/>
          <w:lang w:val="en-US"/>
        </w:rPr>
        <w:t xml:space="preserve"> “</w:t>
      </w:r>
      <w:hyperlink r:id="rId9">
        <w:r w:rsidRPr="007402FD">
          <w:rPr>
            <w:rFonts w:ascii="Garamond" w:eastAsia="Garamond" w:hAnsi="Garamond" w:cs="Garamond"/>
            <w:color w:val="0000FF"/>
            <w:u w:val="single"/>
            <w:lang w:val="en-US"/>
          </w:rPr>
          <w:t>Assessing the Political Dialogue and Cooperation Pillar of the EU-Mercosur Association Agreement: Towards a Bi-regional Strategic Partnership?</w:t>
        </w:r>
      </w:hyperlink>
      <w:r w:rsidRPr="007402FD">
        <w:rPr>
          <w:rFonts w:ascii="Garamond" w:eastAsia="Garamond" w:hAnsi="Garamond" w:cs="Garamond"/>
          <w:lang w:val="en-US"/>
        </w:rPr>
        <w:t xml:space="preserve">”, </w:t>
      </w:r>
      <w:r w:rsidRPr="007402FD">
        <w:rPr>
          <w:rFonts w:ascii="Garamond" w:eastAsia="Garamond" w:hAnsi="Garamond" w:cs="Garamond"/>
          <w:i/>
          <w:lang w:val="en-US"/>
        </w:rPr>
        <w:t>In-Depth Analysis PE 653.652</w:t>
      </w:r>
      <w:r w:rsidRPr="007402FD">
        <w:rPr>
          <w:rFonts w:ascii="Garamond" w:eastAsia="Garamond" w:hAnsi="Garamond" w:cs="Garamond"/>
          <w:lang w:val="en-US"/>
        </w:rPr>
        <w:t xml:space="preserve">. </w:t>
      </w:r>
      <w:r>
        <w:rPr>
          <w:rFonts w:ascii="Garamond" w:eastAsia="Garamond" w:hAnsi="Garamond" w:cs="Garamond"/>
        </w:rPr>
        <w:t>Bruselas: Parlamento Europeo.</w:t>
      </w:r>
    </w:p>
    <w:p w14:paraId="6A92166C" w14:textId="77777777" w:rsidR="00294610" w:rsidRDefault="00294610">
      <w:pPr>
        <w:ind w:left="720" w:hanging="720"/>
        <w:rPr>
          <w:rFonts w:ascii="Garamond" w:eastAsia="Garamond" w:hAnsi="Garamond" w:cs="Garamond"/>
        </w:rPr>
      </w:pPr>
    </w:p>
    <w:p w14:paraId="017314A4" w14:textId="77777777" w:rsidR="00294610" w:rsidRDefault="00000000">
      <w:pPr>
        <w:ind w:left="720" w:hanging="720"/>
        <w:rPr>
          <w:rFonts w:ascii="Garamond" w:eastAsia="Garamond" w:hAnsi="Garamond" w:cs="Garamond"/>
        </w:rPr>
      </w:pPr>
      <w:r>
        <w:rPr>
          <w:rFonts w:ascii="Garamond" w:eastAsia="Garamond" w:hAnsi="Garamond" w:cs="Garamond"/>
        </w:rPr>
        <w:t>Parte 3</w:t>
      </w:r>
    </w:p>
    <w:p w14:paraId="36EB952C" w14:textId="77777777" w:rsidR="00294610" w:rsidRDefault="00000000">
      <w:pPr>
        <w:ind w:left="720" w:hanging="720"/>
        <w:rPr>
          <w:rFonts w:ascii="Garamond" w:eastAsia="Garamond" w:hAnsi="Garamond" w:cs="Garamond"/>
        </w:rPr>
      </w:pPr>
      <w:r>
        <w:rPr>
          <w:rFonts w:ascii="Garamond" w:eastAsia="Garamond" w:hAnsi="Garamond" w:cs="Garamond"/>
        </w:rPr>
        <w:t xml:space="preserve">Actis, Esteban y Nicolás Creus (2020) </w:t>
      </w:r>
      <w:r>
        <w:rPr>
          <w:rFonts w:ascii="Garamond" w:eastAsia="Garamond" w:hAnsi="Garamond" w:cs="Garamond"/>
          <w:i/>
        </w:rPr>
        <w:t>La disputa por el poder global. China contra Estados Unidos en la crisis de la pandemia</w:t>
      </w:r>
      <w:r>
        <w:rPr>
          <w:rFonts w:ascii="Garamond" w:eastAsia="Garamond" w:hAnsi="Garamond" w:cs="Garamond"/>
        </w:rPr>
        <w:t>. Buenos Aires: Capital Intelectual, páginas 31-36, 172-178 y 257-265.</w:t>
      </w:r>
    </w:p>
    <w:p w14:paraId="06C6784E" w14:textId="77777777" w:rsidR="00294610" w:rsidRDefault="00294610">
      <w:pPr>
        <w:ind w:left="720" w:hanging="720"/>
        <w:rPr>
          <w:rFonts w:ascii="Garamond" w:eastAsia="Garamond" w:hAnsi="Garamond" w:cs="Garamond"/>
        </w:rPr>
      </w:pPr>
    </w:p>
    <w:p w14:paraId="0701F393" w14:textId="77777777" w:rsidR="00294610" w:rsidRDefault="00000000">
      <w:pPr>
        <w:ind w:left="720" w:hanging="720"/>
        <w:rPr>
          <w:rFonts w:ascii="Garamond" w:eastAsia="Garamond" w:hAnsi="Garamond" w:cs="Garamond"/>
        </w:rPr>
      </w:pPr>
      <w:r>
        <w:rPr>
          <w:rFonts w:ascii="Garamond" w:eastAsia="Garamond" w:hAnsi="Garamond" w:cs="Garamond"/>
        </w:rPr>
        <w:t>Parte 4</w:t>
      </w:r>
    </w:p>
    <w:p w14:paraId="70E9FA75" w14:textId="77777777" w:rsidR="00294610" w:rsidRDefault="00000000">
      <w:pPr>
        <w:spacing w:after="120"/>
        <w:ind w:left="720" w:hanging="720"/>
        <w:rPr>
          <w:rFonts w:ascii="Garamond" w:eastAsia="Garamond" w:hAnsi="Garamond" w:cs="Garamond"/>
        </w:rPr>
      </w:pPr>
      <w:r>
        <w:rPr>
          <w:rFonts w:ascii="Garamond" w:eastAsia="Garamond" w:hAnsi="Garamond" w:cs="Garamond"/>
        </w:rPr>
        <w:t>Malamud, Andrés y Luis L. Schenoni (2021) “</w:t>
      </w:r>
      <w:hyperlink r:id="rId10">
        <w:r>
          <w:rPr>
            <w:rFonts w:ascii="Garamond" w:eastAsia="Garamond" w:hAnsi="Garamond" w:cs="Garamond"/>
            <w:color w:val="0000FF"/>
            <w:u w:val="single"/>
          </w:rPr>
          <w:t>Sobre la creciente irrelevancia de América Latina</w:t>
        </w:r>
      </w:hyperlink>
      <w:r>
        <w:rPr>
          <w:rFonts w:ascii="Garamond" w:eastAsia="Garamond" w:hAnsi="Garamond" w:cs="Garamond"/>
        </w:rPr>
        <w:t xml:space="preserve">”, </w:t>
      </w:r>
      <w:r>
        <w:rPr>
          <w:rFonts w:ascii="Garamond" w:eastAsia="Garamond" w:hAnsi="Garamond" w:cs="Garamond"/>
          <w:i/>
        </w:rPr>
        <w:t>Nueva Sociedad</w:t>
      </w:r>
      <w:r>
        <w:rPr>
          <w:rFonts w:ascii="Garamond" w:eastAsia="Garamond" w:hAnsi="Garamond" w:cs="Garamond"/>
        </w:rPr>
        <w:t xml:space="preserve"> 291, Buenos Aires, 2021, 66-79.</w:t>
      </w:r>
    </w:p>
    <w:p w14:paraId="5B3A5336" w14:textId="77777777" w:rsidR="00294610" w:rsidRDefault="00294610">
      <w:pPr>
        <w:spacing w:before="0" w:after="120"/>
        <w:ind w:left="720" w:right="45" w:hanging="720"/>
        <w:rPr>
          <w:rFonts w:ascii="Garamond" w:eastAsia="Garamond" w:hAnsi="Garamond" w:cs="Garamond"/>
          <w:color w:val="000000"/>
        </w:rPr>
      </w:pPr>
    </w:p>
    <w:p w14:paraId="6797306E" w14:textId="77777777" w:rsidR="00294610" w:rsidRDefault="00000000">
      <w:pPr>
        <w:spacing w:before="0" w:after="120"/>
        <w:ind w:left="720" w:right="45" w:hanging="720"/>
        <w:rPr>
          <w:rFonts w:ascii="Garamond" w:eastAsia="Garamond" w:hAnsi="Garamond" w:cs="Garamond"/>
        </w:rPr>
      </w:pPr>
      <w:r>
        <w:rPr>
          <w:rFonts w:ascii="Garamond" w:eastAsia="Garamond" w:hAnsi="Garamond" w:cs="Garamond"/>
          <w:color w:val="000000"/>
        </w:rPr>
        <w:t>Malamud, Andrés (2011) “</w:t>
      </w:r>
      <w:hyperlink r:id="rId11">
        <w:r>
          <w:rPr>
            <w:rFonts w:ascii="Garamond" w:eastAsia="Garamond" w:hAnsi="Garamond" w:cs="Garamond"/>
            <w:color w:val="0000FF"/>
            <w:u w:val="single"/>
          </w:rPr>
          <w:t>Conceptos, teorías y debates sobre la integración regional</w:t>
        </w:r>
      </w:hyperlink>
      <w:r>
        <w:rPr>
          <w:rFonts w:ascii="Garamond" w:eastAsia="Garamond" w:hAnsi="Garamond" w:cs="Garamond"/>
          <w:color w:val="000000"/>
        </w:rPr>
        <w:t xml:space="preserve">”, </w:t>
      </w:r>
      <w:r>
        <w:rPr>
          <w:rFonts w:ascii="Garamond" w:eastAsia="Garamond" w:hAnsi="Garamond" w:cs="Garamond"/>
          <w:i/>
          <w:color w:val="000000"/>
          <w:highlight w:val="white"/>
        </w:rPr>
        <w:t>Norteamérica</w:t>
      </w:r>
      <w:r>
        <w:rPr>
          <w:rFonts w:ascii="Garamond" w:eastAsia="Garamond" w:hAnsi="Garamond" w:cs="Garamond"/>
          <w:color w:val="000000"/>
          <w:highlight w:val="white"/>
        </w:rPr>
        <w:t> [Mexico DF] 6(2), 219-49.</w:t>
      </w:r>
    </w:p>
    <w:p w14:paraId="2E29E8CB" w14:textId="77777777" w:rsidR="00294610" w:rsidRDefault="00294610">
      <w:pPr>
        <w:spacing w:line="276" w:lineRule="auto"/>
        <w:ind w:left="720" w:hanging="720"/>
        <w:rPr>
          <w:rFonts w:ascii="Garamond" w:eastAsia="Garamond" w:hAnsi="Garamond" w:cs="Garamond"/>
          <w:color w:val="000000"/>
        </w:rPr>
      </w:pPr>
    </w:p>
    <w:sectPr w:rsidR="00294610">
      <w:headerReference w:type="default" r:id="rId12"/>
      <w:footerReference w:type="even" r:id="rId13"/>
      <w:footerReference w:type="default" r:id="rId14"/>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53B9F" w14:textId="77777777" w:rsidR="006D6A8C" w:rsidRDefault="006D6A8C">
      <w:pPr>
        <w:spacing w:before="0" w:after="0"/>
      </w:pPr>
      <w:r>
        <w:separator/>
      </w:r>
    </w:p>
  </w:endnote>
  <w:endnote w:type="continuationSeparator" w:id="0">
    <w:p w14:paraId="60B9C3DA" w14:textId="77777777" w:rsidR="006D6A8C" w:rsidRDefault="006D6A8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35 Thin">
    <w:altName w:val="Arial"/>
    <w:panose1 w:val="00000000000000000000"/>
    <w:charset w:val="00"/>
    <w:family w:val="swiss"/>
    <w:notTrueType/>
    <w:pitch w:val="variable"/>
    <w:sig w:usb0="800000A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Webdings">
    <w:panose1 w:val="05030102010509060703"/>
    <w:charset w:val="4D"/>
    <w:family w:val="decorative"/>
    <w:pitch w:val="variable"/>
    <w:sig w:usb0="00000003" w:usb1="00000000" w:usb2="00000000" w:usb3="00000000" w:csb0="80000001"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CDC9" w14:textId="77777777" w:rsidR="00294610" w:rsidRDefault="0000000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3A6F70F6" w14:textId="77777777" w:rsidR="00294610" w:rsidRDefault="00294610">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B67EC" w14:textId="77777777" w:rsidR="00294610" w:rsidRDefault="0000000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7402FD">
      <w:rPr>
        <w:noProof/>
        <w:color w:val="000000"/>
      </w:rPr>
      <w:t>1</w:t>
    </w:r>
    <w:r>
      <w:rPr>
        <w:color w:val="000000"/>
      </w:rPr>
      <w:fldChar w:fldCharType="end"/>
    </w:r>
  </w:p>
  <w:p w14:paraId="0C0E9278" w14:textId="77777777" w:rsidR="00294610" w:rsidRDefault="00000000">
    <w:pPr>
      <w:tabs>
        <w:tab w:val="center" w:pos="4252"/>
        <w:tab w:val="right" w:pos="8504"/>
      </w:tabs>
      <w:rPr>
        <w:rFonts w:ascii="Garamond" w:eastAsia="Garamond" w:hAnsi="Garamond" w:cs="Garamond"/>
      </w:rPr>
    </w:pPr>
    <w:r>
      <w:rPr>
        <w:rFonts w:ascii="Garamond" w:eastAsia="Garamond" w:hAnsi="Garamond" w:cs="Garamond"/>
      </w:rPr>
      <w:t>El curso está estructurado en cuatro módulos de dos horas cada uno:</w:t>
    </w:r>
  </w:p>
  <w:p w14:paraId="2615AEE2" w14:textId="77777777" w:rsidR="00294610" w:rsidRDefault="00000000">
    <w:pPr>
      <w:numPr>
        <w:ilvl w:val="0"/>
        <w:numId w:val="1"/>
      </w:numPr>
      <w:tabs>
        <w:tab w:val="center" w:pos="4252"/>
        <w:tab w:val="right" w:pos="8504"/>
      </w:tabs>
      <w:rPr>
        <w:rFonts w:ascii="Garamond" w:eastAsia="Garamond" w:hAnsi="Garamond" w:cs="Garamond"/>
      </w:rPr>
    </w:pPr>
    <w:r>
      <w:rPr>
        <w:rFonts w:ascii="Garamond" w:eastAsia="Garamond" w:hAnsi="Garamond" w:cs="Garamond"/>
      </w:rPr>
      <w:t>Relaciones de América Latina con Estados Unidos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E4E26" w14:textId="77777777" w:rsidR="006D6A8C" w:rsidRDefault="006D6A8C">
      <w:pPr>
        <w:spacing w:before="0" w:after="0"/>
      </w:pPr>
      <w:r>
        <w:separator/>
      </w:r>
    </w:p>
  </w:footnote>
  <w:footnote w:type="continuationSeparator" w:id="0">
    <w:p w14:paraId="1B7268BF" w14:textId="77777777" w:rsidR="006D6A8C" w:rsidRDefault="006D6A8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A60C9" w14:textId="77777777" w:rsidR="00294610" w:rsidRDefault="00000000">
    <w:pPr>
      <w:numPr>
        <w:ilvl w:val="0"/>
        <w:numId w:val="1"/>
      </w:numPr>
      <w:tabs>
        <w:tab w:val="center" w:pos="4252"/>
        <w:tab w:val="right" w:pos="8504"/>
        <w:tab w:val="left" w:pos="4905"/>
      </w:tabs>
      <w:rPr>
        <w:rFonts w:ascii="Garamond" w:eastAsia="Garamond" w:hAnsi="Garamond" w:cs="Garamond"/>
      </w:rPr>
    </w:pPr>
    <w:r>
      <w:rPr>
        <w:rFonts w:ascii="Garamond" w:eastAsia="Garamond" w:hAnsi="Garamond" w:cs="Garamond"/>
      </w:rPr>
      <w:t>Relaciones de América Latina con la Unión Europea</w:t>
    </w:r>
  </w:p>
  <w:p w14:paraId="478FE825" w14:textId="77777777" w:rsidR="00294610" w:rsidRDefault="00000000">
    <w:pPr>
      <w:numPr>
        <w:ilvl w:val="0"/>
        <w:numId w:val="1"/>
      </w:numPr>
      <w:tabs>
        <w:tab w:val="center" w:pos="4252"/>
        <w:tab w:val="right" w:pos="8504"/>
        <w:tab w:val="left" w:pos="4905"/>
      </w:tabs>
      <w:rPr>
        <w:rFonts w:ascii="Garamond" w:eastAsia="Garamond" w:hAnsi="Garamond" w:cs="Garamond"/>
      </w:rPr>
    </w:pPr>
    <w:r>
      <w:rPr>
        <w:rFonts w:ascii="Garamond" w:eastAsia="Garamond" w:hAnsi="Garamond" w:cs="Garamond"/>
      </w:rPr>
      <w:t>Relaciones de América Latina con China y el mundo emergente</w:t>
    </w:r>
  </w:p>
  <w:p w14:paraId="76C9A748" w14:textId="77777777" w:rsidR="00294610" w:rsidRDefault="00000000">
    <w:pPr>
      <w:numPr>
        <w:ilvl w:val="0"/>
        <w:numId w:val="1"/>
      </w:numPr>
      <w:tabs>
        <w:tab w:val="center" w:pos="4252"/>
        <w:tab w:val="right" w:pos="8504"/>
        <w:tab w:val="left" w:pos="4905"/>
      </w:tabs>
      <w:rPr>
        <w:rFonts w:ascii="Garamond" w:eastAsia="Garamond" w:hAnsi="Garamond" w:cs="Garamond"/>
      </w:rPr>
    </w:pPr>
    <w:r>
      <w:rPr>
        <w:rFonts w:ascii="Garamond" w:eastAsia="Garamond" w:hAnsi="Garamond" w:cs="Garamond"/>
      </w:rPr>
      <w:t>Pérdida de relevancia global de América Latina y relaciones intra-regionales</w:t>
    </w:r>
  </w:p>
  <w:p w14:paraId="31237F2D" w14:textId="77777777" w:rsidR="00294610" w:rsidRDefault="00294610">
    <w:pPr>
      <w:pBdr>
        <w:top w:val="nil"/>
        <w:left w:val="nil"/>
        <w:bottom w:val="nil"/>
        <w:right w:val="nil"/>
        <w:between w:val="nil"/>
      </w:pBdr>
      <w:tabs>
        <w:tab w:val="center" w:pos="4252"/>
        <w:tab w:val="right" w:pos="8504"/>
      </w:tabs>
      <w:ind w:firstLine="0"/>
      <w:rPr>
        <w:rFonts w:ascii="Helvetica Neue Light" w:eastAsia="Helvetica Neue Light" w:hAnsi="Helvetica Neue Light" w:cs="Helvetica Neue Light"/>
        <w:color w:val="000000"/>
        <w:sz w:val="34"/>
        <w:szCs w:val="3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EA7"/>
    <w:multiLevelType w:val="multilevel"/>
    <w:tmpl w:val="25E2D5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29570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610"/>
    <w:rsid w:val="00294610"/>
    <w:rsid w:val="006D6A8C"/>
    <w:rsid w:val="007402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4B543A36"/>
  <w15:docId w15:val="{490AA009-A06F-EF4D-AB05-8EF6F195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_tradnl" w:bidi="ar-SA"/>
      </w:rPr>
    </w:rPrDefault>
    <w:pPrDefault>
      <w:pPr>
        <w:spacing w:before="80" w:after="80"/>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868"/>
    <w:rPr>
      <w:lang w:eastAsia="de-DE"/>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outlineLvl w:val="1"/>
    </w:pPr>
    <w:rPr>
      <w:b/>
      <w:sz w:val="36"/>
      <w:szCs w:val="36"/>
    </w:rPr>
  </w:style>
  <w:style w:type="paragraph" w:styleId="Ttulo3">
    <w:name w:val="heading 3"/>
    <w:basedOn w:val="Normal"/>
    <w:next w:val="Normal"/>
    <w:uiPriority w:val="9"/>
    <w:semiHidden/>
    <w:unhideWhenUsed/>
    <w:qFormat/>
    <w:pPr>
      <w:keepNext/>
      <w:keepLines/>
      <w:spacing w:before="2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titulosdelresumen">
    <w:name w:val="titulos del resumen"/>
    <w:basedOn w:val="resumencuerpo"/>
    <w:link w:val="titulosdelresumenCar"/>
    <w:rsid w:val="00CB0868"/>
    <w:rPr>
      <w:b/>
      <w:sz w:val="22"/>
    </w:rPr>
  </w:style>
  <w:style w:type="character" w:customStyle="1" w:styleId="resumencuerpoCar">
    <w:name w:val="resumen cuerpo Car"/>
    <w:link w:val="resumencuerpo"/>
    <w:rsid w:val="003732B3"/>
    <w:rPr>
      <w:rFonts w:ascii="Helvetica 35 Thin" w:hAnsi="Helvetica 35 Thin"/>
      <w:sz w:val="24"/>
      <w:lang w:val="es-ES" w:eastAsia="de-DE" w:bidi="ar-SA"/>
    </w:rPr>
  </w:style>
  <w:style w:type="paragraph" w:customStyle="1" w:styleId="ResumenTitulo">
    <w:name w:val="Resumen_Titulo"/>
    <w:basedOn w:val="Normal"/>
    <w:link w:val="ResumenTituloCarCar"/>
    <w:rsid w:val="00CB0868"/>
    <w:pPr>
      <w:ind w:firstLine="0"/>
      <w:jc w:val="left"/>
    </w:pPr>
    <w:rPr>
      <w:rFonts w:ascii="Helvetica 35 Thin" w:hAnsi="Helvetica 35 Thin"/>
    </w:rPr>
  </w:style>
  <w:style w:type="character" w:customStyle="1" w:styleId="titulosdelresumenCar">
    <w:name w:val="titulos del resumen Car"/>
    <w:link w:val="titulosdelresumen"/>
    <w:rsid w:val="00CB0868"/>
    <w:rPr>
      <w:rFonts w:ascii="Helvetica 35 Thin" w:hAnsi="Helvetica 35 Thin"/>
      <w:b/>
      <w:sz w:val="22"/>
      <w:lang w:val="es-ES" w:eastAsia="de-DE" w:bidi="ar-SA"/>
    </w:rPr>
  </w:style>
  <w:style w:type="paragraph" w:customStyle="1" w:styleId="Asignatura-nombre">
    <w:name w:val="Asignatura-nombre"/>
    <w:basedOn w:val="Normal"/>
    <w:link w:val="Asignatura-nombreCar"/>
    <w:rsid w:val="00CB0868"/>
    <w:pPr>
      <w:pBdr>
        <w:top w:val="single" w:sz="4" w:space="1" w:color="auto"/>
      </w:pBdr>
      <w:ind w:firstLine="0"/>
      <w:jc w:val="left"/>
    </w:pPr>
    <w:rPr>
      <w:rFonts w:ascii="Helvetica 35 Thin" w:hAnsi="Helvetica 35 Thin"/>
      <w:b/>
      <w:bCs/>
      <w:color w:val="808080"/>
      <w:sz w:val="32"/>
      <w:szCs w:val="32"/>
    </w:rPr>
  </w:style>
  <w:style w:type="character" w:customStyle="1" w:styleId="ResumenTituloCarCar">
    <w:name w:val="Resumen_Titulo Car Car"/>
    <w:link w:val="ResumenTitulo"/>
    <w:rsid w:val="00CB0868"/>
    <w:rPr>
      <w:rFonts w:ascii="Helvetica 35 Thin" w:hAnsi="Helvetica 35 Thin"/>
      <w:sz w:val="24"/>
      <w:lang w:val="es-ES" w:eastAsia="de-DE" w:bidi="ar-SA"/>
    </w:rPr>
  </w:style>
  <w:style w:type="character" w:customStyle="1" w:styleId="Asignatura-nombreCar">
    <w:name w:val="Asignatura-nombre Car"/>
    <w:link w:val="Asignatura-nombre"/>
    <w:rsid w:val="00CB0868"/>
    <w:rPr>
      <w:rFonts w:ascii="Helvetica 35 Thin" w:hAnsi="Helvetica 35 Thin"/>
      <w:b/>
      <w:bCs/>
      <w:color w:val="808080"/>
      <w:sz w:val="32"/>
      <w:szCs w:val="32"/>
      <w:lang w:val="es-ES" w:eastAsia="de-DE" w:bidi="ar-SA"/>
    </w:rPr>
  </w:style>
  <w:style w:type="paragraph" w:customStyle="1" w:styleId="Datosprofesores">
    <w:name w:val="Datos profesores"/>
    <w:basedOn w:val="ResumenTitulo"/>
    <w:link w:val="DatosprofesoresCar"/>
    <w:rsid w:val="00CB0868"/>
    <w:rPr>
      <w:sz w:val="22"/>
    </w:rPr>
  </w:style>
  <w:style w:type="character" w:customStyle="1" w:styleId="DatosprofesoresCar">
    <w:name w:val="Datos profesores Car"/>
    <w:link w:val="Datosprofesores"/>
    <w:rsid w:val="00CB0868"/>
    <w:rPr>
      <w:rFonts w:ascii="Helvetica 35 Thin" w:hAnsi="Helvetica 35 Thin"/>
      <w:sz w:val="22"/>
      <w:lang w:val="es-ES" w:eastAsia="de-DE" w:bidi="ar-SA"/>
    </w:rPr>
  </w:style>
  <w:style w:type="paragraph" w:customStyle="1" w:styleId="resumencuerpo">
    <w:name w:val="resumen cuerpo"/>
    <w:basedOn w:val="ResumenTitulo"/>
    <w:link w:val="resumencuerpoCar"/>
    <w:rsid w:val="003732B3"/>
    <w:pPr>
      <w:spacing w:before="0" w:after="0"/>
      <w:jc w:val="both"/>
    </w:pPr>
  </w:style>
  <w:style w:type="paragraph" w:styleId="Encabezado">
    <w:name w:val="header"/>
    <w:basedOn w:val="Normal"/>
    <w:rsid w:val="00CB0868"/>
    <w:pPr>
      <w:tabs>
        <w:tab w:val="center" w:pos="4252"/>
        <w:tab w:val="right" w:pos="8504"/>
      </w:tabs>
    </w:pPr>
  </w:style>
  <w:style w:type="paragraph" w:styleId="Piedepgina">
    <w:name w:val="footer"/>
    <w:basedOn w:val="Normal"/>
    <w:rsid w:val="00CB0868"/>
    <w:pPr>
      <w:tabs>
        <w:tab w:val="center" w:pos="4252"/>
        <w:tab w:val="right" w:pos="8504"/>
      </w:tabs>
    </w:pPr>
  </w:style>
  <w:style w:type="table" w:styleId="Tablaconcuadrcula">
    <w:name w:val="Table Grid"/>
    <w:basedOn w:val="Tablanormal"/>
    <w:rsid w:val="00CB0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rsid w:val="00E26138"/>
    <w:pPr>
      <w:spacing w:before="0" w:after="0"/>
      <w:ind w:firstLine="0"/>
    </w:pPr>
    <w:rPr>
      <w:rFonts w:ascii="Arial" w:hAnsi="Arial" w:cs="Arial"/>
      <w:sz w:val="22"/>
      <w:lang w:eastAsia="es-ES"/>
    </w:rPr>
  </w:style>
  <w:style w:type="paragraph" w:styleId="Sangra2detindependiente">
    <w:name w:val="Body Text Indent 2"/>
    <w:basedOn w:val="Normal"/>
    <w:rsid w:val="00E26138"/>
    <w:pPr>
      <w:spacing w:before="0" w:after="0"/>
      <w:ind w:firstLine="708"/>
    </w:pPr>
    <w:rPr>
      <w:rFonts w:ascii="Arial" w:hAnsi="Arial" w:cs="Arial"/>
      <w:sz w:val="22"/>
      <w:lang w:eastAsia="es-ES"/>
    </w:rPr>
  </w:style>
  <w:style w:type="character" w:styleId="Hipervnculo">
    <w:name w:val="Hyperlink"/>
    <w:rsid w:val="00BD5890"/>
    <w:rPr>
      <w:color w:val="0000FF"/>
      <w:u w:val="single"/>
    </w:rPr>
  </w:style>
  <w:style w:type="paragraph" w:customStyle="1" w:styleId="Default">
    <w:name w:val="Default"/>
    <w:rsid w:val="00F26F2B"/>
    <w:pPr>
      <w:autoSpaceDE w:val="0"/>
      <w:autoSpaceDN w:val="0"/>
      <w:adjustRightInd w:val="0"/>
    </w:pPr>
    <w:rPr>
      <w:rFonts w:eastAsia="Calibri"/>
      <w:color w:val="000000"/>
      <w:lang w:val="en-US" w:eastAsia="en-US"/>
    </w:rPr>
  </w:style>
  <w:style w:type="paragraph" w:styleId="NormalWeb">
    <w:name w:val="Normal (Web)"/>
    <w:basedOn w:val="Normal"/>
    <w:uiPriority w:val="99"/>
    <w:unhideWhenUsed/>
    <w:rsid w:val="00F26F2B"/>
    <w:pPr>
      <w:spacing w:before="100" w:beforeAutospacing="1" w:after="100" w:afterAutospacing="1"/>
      <w:ind w:firstLine="0"/>
      <w:jc w:val="left"/>
    </w:pPr>
    <w:rPr>
      <w:lang w:val="en-US" w:eastAsia="en-US"/>
    </w:rPr>
  </w:style>
  <w:style w:type="character" w:customStyle="1" w:styleId="apple-converted-space">
    <w:name w:val="apple-converted-space"/>
    <w:basedOn w:val="Fuentedeprrafopredeter"/>
    <w:rsid w:val="00E23A61"/>
  </w:style>
  <w:style w:type="character" w:styleId="Nmerodepgina">
    <w:name w:val="page number"/>
    <w:basedOn w:val="Fuentedeprrafopredeter"/>
    <w:rsid w:val="00546A52"/>
  </w:style>
  <w:style w:type="character" w:styleId="nfasis">
    <w:name w:val="Emphasis"/>
    <w:uiPriority w:val="20"/>
    <w:qFormat/>
    <w:rsid w:val="00FC30B2"/>
    <w:rPr>
      <w:i/>
      <w:iCs/>
    </w:rPr>
  </w:style>
  <w:style w:type="character" w:styleId="Mencinsinresolver">
    <w:name w:val="Unresolved Mention"/>
    <w:uiPriority w:val="99"/>
    <w:semiHidden/>
    <w:unhideWhenUsed/>
    <w:rsid w:val="00EA2C4B"/>
    <w:rPr>
      <w:color w:val="605E5C"/>
      <w:shd w:val="clear" w:color="auto" w:fill="E1DFDD"/>
    </w:rPr>
  </w:style>
  <w:style w:type="paragraph" w:styleId="Subttulo">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ebri-revista.emnuvens.com.br/revista/article/view/1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vistanorteamerica.unam.mx/index.php/nam/article/view/140/12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uso.org/articulo/sobre-la-creciente-irrelevancia-de-america-latina/" TargetMode="External"/><Relationship Id="rId4" Type="http://schemas.openxmlformats.org/officeDocument/2006/relationships/settings" Target="settings.xml"/><Relationship Id="rId9" Type="http://schemas.openxmlformats.org/officeDocument/2006/relationships/hyperlink" Target="https://www.europarl.europa.eu/thinktank/en/document/EXPO_IDA(2022)65365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F+q6vCE6I0tLD9xaqIVFbWWr1w==">CgMxLjAyCGguZ2pkZ3hzOAByITE0dHVRQzNXVWdRY2ctM0VadzNtNU9JWVFvYVBGWFQwQw==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2782</Characters>
  <Application>Microsoft Office Word</Application>
  <DocSecurity>0</DocSecurity>
  <Lines>23</Lines>
  <Paragraphs>6</Paragraphs>
  <ScaleCrop>false</ScaleCrop>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Francisco Sánchez</cp:lastModifiedBy>
  <cp:revision>2</cp:revision>
  <dcterms:created xsi:type="dcterms:W3CDTF">2022-06-07T09:00:00Z</dcterms:created>
  <dcterms:modified xsi:type="dcterms:W3CDTF">2023-09-17T17:59:00Z</dcterms:modified>
</cp:coreProperties>
</file>